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ind w:firstLine="1325" w:firstLineChars="300"/>
        <w:jc w:val="left"/>
        <w:rPr>
          <w:rFonts w:hint="eastAsia" w:ascii="黑体" w:hAnsi="黑体" w:eastAsia="黑体" w:cs="黑体"/>
          <w:b/>
          <w:bCs/>
          <w:color w:val="555555"/>
          <w:kern w:val="0"/>
          <w:sz w:val="44"/>
          <w:szCs w:val="44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color w:val="555555"/>
          <w:kern w:val="0"/>
          <w:sz w:val="44"/>
          <w:szCs w:val="44"/>
          <w:shd w:val="clear" w:color="auto" w:fill="FFFFFF"/>
          <w:lang w:eastAsia="zh-CN"/>
        </w:rPr>
        <w:t>2019</w:t>
      </w:r>
      <w:r>
        <w:rPr>
          <w:rFonts w:hint="eastAsia" w:ascii="黑体" w:hAnsi="黑体" w:eastAsia="黑体" w:cs="黑体"/>
          <w:b/>
          <w:bCs/>
          <w:color w:val="555555"/>
          <w:kern w:val="0"/>
          <w:sz w:val="44"/>
          <w:szCs w:val="44"/>
          <w:shd w:val="clear" w:color="auto" w:fill="FFFFFF"/>
        </w:rPr>
        <w:t>年中国COSPLAY超级盛典</w:t>
      </w:r>
    </w:p>
    <w:p>
      <w:pPr>
        <w:pStyle w:val="10"/>
        <w:ind w:firstLine="883" w:firstLineChars="200"/>
        <w:jc w:val="left"/>
        <w:rPr>
          <w:rFonts w:hint="eastAsia" w:ascii="微软雅黑" w:hAnsi="微软雅黑" w:eastAsia="微软雅黑" w:cs="微软雅黑"/>
          <w:b/>
          <w:bCs/>
          <w:color w:val="555555"/>
          <w:kern w:val="0"/>
          <w:sz w:val="24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color w:val="555555"/>
          <w:kern w:val="0"/>
          <w:sz w:val="44"/>
          <w:szCs w:val="44"/>
          <w:shd w:val="clear" w:color="auto" w:fill="FFFFFF"/>
        </w:rPr>
        <w:t>全国分赛区</w:t>
      </w:r>
      <w:r>
        <w:rPr>
          <w:rFonts w:hint="eastAsia" w:ascii="黑体" w:hAnsi="黑体" w:eastAsia="黑体" w:cs="黑体"/>
          <w:b/>
          <w:bCs/>
          <w:color w:val="555555"/>
          <w:kern w:val="0"/>
          <w:sz w:val="44"/>
          <w:szCs w:val="44"/>
          <w:shd w:val="clear" w:color="auto" w:fill="FFFFFF"/>
          <w:lang w:eastAsia="zh-CN"/>
        </w:rPr>
        <w:t>申办注意事项及责任义务</w:t>
      </w:r>
    </w:p>
    <w:p>
      <w:pPr>
        <w:numPr>
          <w:ilvl w:val="0"/>
          <w:numId w:val="0"/>
        </w:numPr>
        <w:spacing w:line="360" w:lineRule="auto"/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</w:pPr>
    </w:p>
    <w:p>
      <w:pPr>
        <w:numPr>
          <w:ilvl w:val="0"/>
          <w:numId w:val="0"/>
        </w:numPr>
        <w:spacing w:line="360" w:lineRule="auto"/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2019年中国COSPLAY超级盛典全国分赛区合作单位招募工作正式启动。作为“第十五届中国国际动漫节”最大的配套活动，多年来，中国COSPLAY超级盛典始终在比赛内容创新性及赛制评选专业性上不断追求，在业界树立了良好的口碑及公信力，是国内最为专业且唯一的国字号COSPLAY赛事品牌。</w:t>
      </w:r>
    </w:p>
    <w:p>
      <w:pPr>
        <w:numPr>
          <w:ilvl w:val="0"/>
          <w:numId w:val="0"/>
        </w:numPr>
        <w:spacing w:line="360" w:lineRule="auto"/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中国COSPLAY超级盛典现已覆盖全国25个省级单位以及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个欧洲国家，包括总赛区在内共有3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个分赛区，总参与人数也上了数十万级别。为更好的推动及发展国内COSPLAY文化，给COSPLAY爱好者提供更好的交流互动平台，中国COSPLAY超级盛典组委会正式启动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2019第十五届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中国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COSPLAY超级盛典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全国分赛区合作单位的招募工作。具体规则如下：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Cs/>
          <w:color w:val="555555"/>
          <w:sz w:val="32"/>
          <w:szCs w:val="32"/>
          <w:shd w:val="clear" w:color="auto" w:fill="FFFFFF"/>
        </w:rPr>
        <w:t>    【申请注意事项】</w:t>
      </w:r>
    </w:p>
    <w:p>
      <w:pPr>
        <w:pStyle w:val="5"/>
        <w:widowControl/>
        <w:shd w:val="clear" w:color="auto" w:fill="FFFFFF"/>
        <w:spacing w:beforeAutospacing="0" w:afterAutospacing="0" w:line="240" w:lineRule="auto"/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</w:rPr>
        <w:t>  </w:t>
      </w:r>
      <w:r>
        <w:rPr>
          <w:rStyle w:val="7"/>
          <w:rFonts w:hint="eastAsia" w:ascii="仿宋_GB2312" w:hAnsi="仿宋_GB2312" w:eastAsia="仿宋_GB2312" w:cs="仿宋_GB2312"/>
          <w:bCs/>
          <w:color w:val="555555"/>
          <w:sz w:val="32"/>
          <w:szCs w:val="32"/>
          <w:shd w:val="clear" w:color="auto" w:fill="FFFFFF"/>
        </w:rPr>
        <w:t>  1、申请时间：</w:t>
      </w:r>
    </w:p>
    <w:p>
      <w:pPr>
        <w:pStyle w:val="5"/>
        <w:widowControl/>
        <w:shd w:val="clear" w:color="auto" w:fill="FFFFFF"/>
        <w:tabs>
          <w:tab w:val="right" w:pos="8306"/>
        </w:tabs>
        <w:spacing w:beforeAutospacing="0" w:afterAutospacing="0" w:line="360" w:lineRule="auto"/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</w:rPr>
        <w:t>    201</w:t>
      </w: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</w:rPr>
        <w:t>日至</w:t>
      </w: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</w:rPr>
        <w:t>日</w:t>
      </w: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  <w:lang w:eastAsia="zh-CN"/>
        </w:rPr>
        <w:tab/>
      </w:r>
    </w:p>
    <w:p>
      <w:pPr>
        <w:pStyle w:val="5"/>
        <w:widowControl/>
        <w:shd w:val="clear" w:color="auto" w:fill="FFFFFF"/>
        <w:spacing w:beforeAutospacing="0" w:afterAutospacing="0" w:line="360" w:lineRule="auto"/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</w:rPr>
        <w:t> </w:t>
      </w:r>
      <w:r>
        <w:rPr>
          <w:rStyle w:val="7"/>
          <w:rFonts w:hint="eastAsia" w:ascii="仿宋_GB2312" w:hAnsi="仿宋_GB2312" w:eastAsia="仿宋_GB2312" w:cs="仿宋_GB2312"/>
          <w:bCs/>
          <w:color w:val="555555"/>
          <w:sz w:val="32"/>
          <w:szCs w:val="32"/>
          <w:shd w:val="clear" w:color="auto" w:fill="FFFFFF"/>
        </w:rPr>
        <w:t>   2、申请方式：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</w:rPr>
        <w:t>  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instrText xml:space="preserve"> HYPERLINK "http://www.cicaf.com/xwzx/site2/20160715/0023ae7dda7d18f2b9bf19.7z" \t "http://www.cicaf.com/xwzx/content/2016-07/15/_blank" </w:instrTex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fldChar w:fldCharType="separate"/>
      </w:r>
      <w:r>
        <w:rPr>
          <w:rStyle w:val="8"/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u w:val="none"/>
          <w:shd w:val="clear" w:color="auto" w:fill="FFFFFF"/>
        </w:rPr>
        <w:t> </w:t>
      </w:r>
      <w:r>
        <w:rPr>
          <w:rStyle w:val="8"/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</w:rPr>
        <w:t>下载申请资料包</w:t>
      </w:r>
      <w:r>
        <w:rPr>
          <w:rStyle w:val="8"/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u w:val="none"/>
          <w:shd w:val="clear" w:color="auto" w:fill="FFFFFF"/>
        </w:rPr>
        <w:fldChar w:fldCharType="end"/>
      </w: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</w:rPr>
        <w:t>并认真填写申请资料包中的所有文件与内容，申报的公司需提交公司图文简介</w:t>
      </w: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  <w:lang w:eastAsia="zh-CN"/>
        </w:rPr>
        <w:t>、公司营业执照副本复印件、机构代码、法人身份证复印件、近期举办大型活动现场图、被申请单位授权项目负责人授权书、安全责任书扫描件</w:t>
      </w: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</w:rPr>
        <w:t>和</w:t>
      </w: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  <w:lang w:eastAsia="zh-CN"/>
        </w:rPr>
        <w:t>2019</w:t>
      </w: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</w:rPr>
        <w:t>年分赛区投标方案。所有申请材料包压缩后发送到邮箱</w:t>
      </w: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  <w:lang w:val="en-US" w:eastAsia="zh-CN"/>
        </w:rPr>
        <w:t>cosplay@cicaf.com</w:t>
      </w: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</w:rPr>
        <w:t>，文件名统一为“</w:t>
      </w: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  <w:lang w:eastAsia="zh-CN"/>
        </w:rPr>
        <w:t>2019</w:t>
      </w: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</w:rPr>
        <w:t>国漫</w:t>
      </w: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  <w:lang w:eastAsia="zh-CN"/>
        </w:rPr>
        <w:t>盛典</w:t>
      </w: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</w:rPr>
        <w:t>分赛区申请--XX地区”。</w:t>
      </w:r>
    </w:p>
    <w:p>
      <w:pPr>
        <w:pStyle w:val="5"/>
        <w:widowControl/>
        <w:shd w:val="clear" w:color="auto" w:fill="FFFFFF"/>
        <w:spacing w:beforeAutospacing="0" w:afterAutospacing="0" w:line="240" w:lineRule="auto"/>
        <w:ind w:firstLine="643" w:firstLineChars="200"/>
        <w:rPr>
          <w:rStyle w:val="7"/>
          <w:rFonts w:hint="eastAsia" w:ascii="仿宋_GB2312" w:hAnsi="仿宋_GB2312" w:eastAsia="仿宋_GB2312" w:cs="仿宋_GB2312"/>
          <w:bCs/>
          <w:color w:val="555555"/>
          <w:sz w:val="32"/>
          <w:szCs w:val="32"/>
          <w:shd w:val="clear" w:color="auto" w:fill="FFFFFF"/>
        </w:rPr>
      </w:pPr>
      <w:r>
        <w:rPr>
          <w:rStyle w:val="7"/>
          <w:rFonts w:hint="eastAsia" w:ascii="仿宋_GB2312" w:hAnsi="仿宋_GB2312" w:eastAsia="仿宋_GB2312" w:cs="仿宋_GB2312"/>
          <w:bCs/>
          <w:color w:val="555555"/>
          <w:sz w:val="32"/>
          <w:szCs w:val="32"/>
          <w:shd w:val="clear" w:color="auto" w:fill="FFFFFF"/>
        </w:rPr>
        <w:t>3、申请要求：</w:t>
      </w:r>
    </w:p>
    <w:p>
      <w:pPr>
        <w:numPr>
          <w:ilvl w:val="0"/>
          <w:numId w:val="0"/>
        </w:numPr>
        <w:spacing w:line="360" w:lineRule="auto"/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1）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>独立法人公司，公司注册资本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>万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以上；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>持有效工商营业执照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并注册成立两年以上；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>企业经营范围包括且不限于活动组织、策划项目许可等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；申请人必须是公司法人或合伙人。</w:t>
      </w:r>
    </w:p>
    <w:p>
      <w:pPr>
        <w:pStyle w:val="10"/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2）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>有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三年及以上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>相关活动或展会的策划组织经验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>申请时请提供历届活动资讯介绍，包括人数、场地、规模、现场照片等相关历史资料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；</w:t>
      </w:r>
    </w:p>
    <w:p>
      <w:pPr>
        <w:pStyle w:val="10"/>
        <w:numPr>
          <w:ilvl w:val="-1"/>
          <w:numId w:val="0"/>
        </w:num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3）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>在二次元业内具有良好的口碑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和赛事举办经验，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 xml:space="preserve">并有很好的组织基础与行业支持。    </w:t>
      </w:r>
    </w:p>
    <w:p>
      <w:pPr>
        <w:pStyle w:val="10"/>
        <w:spacing w:line="360" w:lineRule="auto"/>
        <w:ind w:firstLine="0" w:firstLineChars="0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</w:pPr>
      <w:bookmarkStart w:id="0" w:name="OLE_LINK1"/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>有组织和承办COSPLAY团队、双人及宅舞赛事的能力和资格。赛事结束后必须提供所有参赛团队的照片及视频。</w:t>
      </w:r>
    </w:p>
    <w:p>
      <w:pPr>
        <w:pStyle w:val="10"/>
        <w:numPr>
          <w:ilvl w:val="-1"/>
          <w:numId w:val="0"/>
        </w:num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>活动场地不得少于1000平方米，比赛舞台不少于100平方米，需具有专业的舞台及灯光音响设施设备。观众区域人数不得少于1000人。</w:t>
      </w:r>
    </w:p>
    <w:p>
      <w:pPr>
        <w:pStyle w:val="10"/>
        <w:numPr>
          <w:ilvl w:val="255"/>
          <w:numId w:val="0"/>
        </w:num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>6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 xml:space="preserve"> </w:t>
      </w:r>
      <w:bookmarkEnd w:id="0"/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>比赛须配备专业主持人，并有3位及以上的专业评委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。为公平公正，分赛区专业评委需在中国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COSPLAY超级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盛典评委库中选取，并报请赛事组委会确认，或由赛事组委会指派。</w:t>
      </w:r>
    </w:p>
    <w:p>
      <w:pPr>
        <w:pStyle w:val="10"/>
        <w:spacing w:line="360" w:lineRule="auto"/>
        <w:ind w:firstLine="0" w:firstLineChars="0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 xml:space="preserve">    7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>应具有当地平面、户外、广播、电视传统媒体以及微博、微信等新媒体和游戏动漫相关专业媒体渠道的资源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，并有具体的宣传执行计划。新闻发布内容，需提前报备赛事组委会审核。</w:t>
      </w:r>
    </w:p>
    <w:p>
      <w:pPr>
        <w:pStyle w:val="10"/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>8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 xml:space="preserve"> 承办过“中国COSPLAY超级盛典”分赛区的申报方将优先考虑，但要提交相关承办成果资料，需图文并茂。</w:t>
      </w:r>
    </w:p>
    <w:p>
      <w:pPr>
        <w:numPr>
          <w:ilvl w:val="0"/>
          <w:numId w:val="0"/>
        </w:numPr>
        <w:ind w:leftChars="0"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 4、联系方式：</w:t>
      </w:r>
    </w:p>
    <w:p>
      <w:pPr>
        <w:numPr>
          <w:ilvl w:val="0"/>
          <w:numId w:val="0"/>
        </w:numPr>
        <w:ind w:leftChars="0" w:firstLine="964" w:firstLineChars="300"/>
        <w:jc w:val="both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QQ：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17118262</w:t>
      </w:r>
    </w:p>
    <w:p>
      <w:pPr>
        <w:numPr>
          <w:ilvl w:val="0"/>
          <w:numId w:val="0"/>
        </w:numPr>
        <w:ind w:leftChars="0" w:firstLine="964" w:firstLineChars="300"/>
        <w:jc w:val="both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邮箱：cosplay@cicaf.com</w:t>
      </w:r>
    </w:p>
    <w:p>
      <w:pPr>
        <w:numPr>
          <w:ilvl w:val="0"/>
          <w:numId w:val="0"/>
        </w:numPr>
        <w:ind w:leftChars="0"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    联系电话：0571-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85089297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 xml:space="preserve"> 张悦</w:t>
      </w:r>
    </w:p>
    <w:p>
      <w:pPr>
        <w:numPr>
          <w:ilvl w:val="0"/>
          <w:numId w:val="0"/>
        </w:numPr>
        <w:ind w:leftChars="0"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【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分赛区责任和义务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】</w:t>
      </w:r>
    </w:p>
    <w:p>
      <w:pPr>
        <w:numPr>
          <w:ilvl w:val="0"/>
          <w:numId w:val="0"/>
        </w:numPr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1.在赛事对外所有宣传中的组织机构名称的规范使用：</w:t>
      </w:r>
    </w:p>
    <w:p>
      <w:pPr>
        <w:numPr>
          <w:ilvl w:val="0"/>
          <w:numId w:val="0"/>
        </w:numPr>
        <w:ind w:firstLine="964" w:firstLineChars="300"/>
        <w:jc w:val="both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highlight w:val="none"/>
          <w:shd w:val="clear" w:color="auto" w:fill="FFFFFF"/>
          <w:lang w:val="en-US" w:eastAsia="zh-CN"/>
        </w:rPr>
        <w:t>指导单位：杭州中国国际动漫节会展有限公司</w:t>
      </w:r>
    </w:p>
    <w:p>
      <w:pPr>
        <w:numPr>
          <w:ilvl w:val="-1"/>
          <w:numId w:val="0"/>
        </w:numPr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2.分赛区主办方具有在**时间**地点的***省分赛区独家承办权，对该活动进行策划、组织和执行。为规范品牌和整体形象，分赛区主办方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/>
        </w:rPr>
        <w:t>在当地宣传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中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>要求使用由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赛事组委会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>提供的统一设计模板，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/>
        </w:rPr>
        <w:t>若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分赛区主办方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/>
        </w:rPr>
        <w:t>需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>添加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其他元素，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>需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报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>经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eastAsia="zh-CN"/>
        </w:rPr>
        <w:t>赛事组委会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  <w:t>审核同意后方可使用。</w:t>
      </w:r>
    </w:p>
    <w:p>
      <w:pPr>
        <w:numPr>
          <w:ilvl w:val="0"/>
          <w:numId w:val="0"/>
        </w:numPr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3.分赛区主办方具有活动的招商权，可自行支配招商收入，但须提前向赛事组委会递交方案并备案。</w:t>
      </w:r>
    </w:p>
    <w:p>
      <w:pPr>
        <w:numPr>
          <w:ilvl w:val="0"/>
          <w:numId w:val="0"/>
        </w:numPr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4.分赛区主办方具有活动的新闻发布权，例如发布实时新闻等，但发布内容应当经赛事组委会审核同意后方可发布。</w:t>
      </w:r>
    </w:p>
    <w:p>
      <w:pPr>
        <w:numPr>
          <w:ilvl w:val="0"/>
          <w:numId w:val="0"/>
        </w:numPr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5.赛事组委会的总冠名商，必须在各分赛区活动中予以展示和体现。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6.出现安全事故，导致人员伤亡或财产损失的，一切责任均由分赛区主办方负责。赛前需签订分赛区安全责任书，提高安全意识，明确安全责任。（安全责任书见附件）</w:t>
      </w:r>
    </w:p>
    <w:p>
      <w:pPr>
        <w:numPr>
          <w:ilvl w:val="0"/>
          <w:numId w:val="0"/>
        </w:numPr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7.分赛区活动期间，赛事组委会将委派观察员前往分赛区观赛和指导，如分赛区主办方未按“合作协议”履行义务，赛事组委会方有权收回其承办资格，取消晋级团队参加总决赛资格，所有由此造成的不良影响和损失均由承办方承担，同时索赔赛事组委会因此而遭受的全部损失。</w:t>
      </w:r>
    </w:p>
    <w:p>
      <w:pPr>
        <w:numPr>
          <w:ilvl w:val="0"/>
          <w:numId w:val="0"/>
        </w:numPr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8.赛事组委会负责分赛区主办方领队（1名）及城市代言人（1名）在杭期间与赛事活动本身相关的落地接待费用；并且负责参赛选手在杭期间比赛当日的午餐费用。</w:t>
      </w:r>
    </w:p>
    <w:p>
      <w:pPr>
        <w:numPr>
          <w:ilvl w:val="0"/>
          <w:numId w:val="0"/>
        </w:numPr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9.其他分赛区相关内容详见授权协议。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360" w:lineRule="auto"/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360" w:lineRule="auto"/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555555"/>
          <w:sz w:val="32"/>
          <w:szCs w:val="32"/>
          <w:shd w:val="clear" w:color="auto" w:fill="FFFFFF"/>
          <w:lang w:val="en-US" w:eastAsia="zh-CN"/>
        </w:rPr>
        <w:t xml:space="preserve">                          中国COSPLAY超级盛典组委会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2018年10月15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  <w:t>日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spacing w:line="240" w:lineRule="auto"/>
        <w:ind w:firstLine="640" w:firstLineChars="200"/>
        <w:jc w:val="both"/>
        <w:outlineLvl w:val="9"/>
        <w:rPr>
          <w:rFonts w:hint="eastAsia" w:ascii="微软雅黑" w:hAnsi="微软雅黑" w:eastAsia="微软雅黑" w:cs="微软雅黑"/>
          <w:b/>
          <w:bCs/>
          <w:kern w:val="2"/>
          <w:sz w:val="32"/>
          <w:szCs w:val="32"/>
          <w:shd w:val="clear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32"/>
          <w:szCs w:val="32"/>
          <w:shd w:val="clear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center"/>
        <w:textAlignment w:val="auto"/>
        <w:outlineLvl w:val="9"/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  <w:lang w:eastAsia="zh-CN"/>
        </w:rPr>
        <w:t>安全责任书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jc w:val="left"/>
        <w:textAlignment w:val="auto"/>
        <w:outlineLvl w:val="9"/>
        <w:rPr>
          <w:rFonts w:hint="eastAsia" w:ascii="Songti SC" w:hAnsi="Songti SC" w:eastAsia="Songti SC"/>
          <w:b/>
          <w:bCs/>
          <w:color w:val="auto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Songti SC" w:hAnsi="Songti SC" w:eastAsia="Songti SC"/>
          <w:b w:val="0"/>
          <w:bCs w:val="0"/>
          <w:color w:val="auto"/>
          <w:szCs w:val="21"/>
        </w:rPr>
      </w:pPr>
      <w:r>
        <w:rPr>
          <w:rFonts w:hint="eastAsia" w:ascii="Songti SC" w:hAnsi="Songti SC" w:eastAsia="Songti SC"/>
          <w:b w:val="0"/>
          <w:bCs w:val="0"/>
          <w:color w:val="auto"/>
          <w:szCs w:val="21"/>
        </w:rPr>
        <w:t>为了做好第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eastAsia="zh-CN"/>
        </w:rPr>
        <w:t>【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u w:val="single"/>
          <w:lang w:val="en-US" w:eastAsia="zh-CN"/>
        </w:rPr>
        <w:t xml:space="preserve">    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eastAsia="zh-CN"/>
        </w:rPr>
        <w:t>】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</w:rPr>
        <w:t>届中国国际动漫节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eastAsia="zh-CN"/>
        </w:rPr>
        <w:t>“中国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val="en-US" w:eastAsia="zh-CN"/>
        </w:rPr>
        <w:t>COSPALY超级盛典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eastAsia="zh-CN"/>
        </w:rPr>
        <w:t>”【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u w:val="single"/>
          <w:lang w:val="en-US" w:eastAsia="zh-CN"/>
        </w:rPr>
        <w:t xml:space="preserve">    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eastAsia="zh-CN"/>
        </w:rPr>
        <w:t>】分赛区的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</w:rPr>
        <w:t>安全工作，消除安全隐患，避免发生安全事故，尽可能避免发生故障事件；同时也为了明确落实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eastAsia="zh-CN"/>
        </w:rPr>
        <w:t>分赛区安全举办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</w:rPr>
        <w:t>措施，加强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eastAsia="zh-CN"/>
        </w:rPr>
        <w:t>分赛区承办方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</w:rPr>
        <w:t>的安全责任感，特制定本安全责任书。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1、作为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</w:rPr>
        <w:t>第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lang w:eastAsia="zh-CN"/>
        </w:rPr>
        <w:t>【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lang w:eastAsia="zh-CN"/>
        </w:rPr>
        <w:t>】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</w:rPr>
        <w:t>届中国国际动漫节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lang w:eastAsia="zh-CN"/>
        </w:rPr>
        <w:t>“中国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lang w:val="en-US" w:eastAsia="zh-CN"/>
        </w:rPr>
        <w:t>COSPALY超级盛典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lang w:eastAsia="zh-CN"/>
        </w:rPr>
        <w:t>”【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lang w:eastAsia="zh-CN"/>
        </w:rPr>
        <w:t>】分赛区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（以下简称“分赛区”）的承办方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，特设定安全管理工作第一责任人为：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【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】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，身份证号码：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【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】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2、保证接受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</w:rPr>
        <w:t>第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lang w:eastAsia="zh-CN"/>
        </w:rPr>
        <w:t>【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lang w:eastAsia="zh-CN"/>
        </w:rPr>
        <w:t>】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</w:rPr>
        <w:t>届中国国际动漫节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lang w:eastAsia="zh-CN"/>
        </w:rPr>
        <w:t>“中国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lang w:val="en-US" w:eastAsia="zh-CN"/>
        </w:rPr>
        <w:t>COSPALY超级盛典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主办方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的监督管理、落实安全保障措施、消防隐患，确保安全。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3、保证按照主办方要求完成分赛区的策划与执行工作，保障分赛区比赛按照公开公平原则顺利举办。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4、保证分赛区的各项活动、比赛等均符合举办地城市管理、安全管理、施工管理等相关法律规定。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5、严格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遵守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主办方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关于消防安全和施工安全的各项规定，对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分赛区的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消防及安全问题，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承办单位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承担全部法律后果及损失。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yellow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6、</w:t>
      </w:r>
      <w:r>
        <w:rPr>
          <w:rFonts w:hint="eastAsia" w:ascii="宋体" w:hAnsi="宋体" w:eastAsia="宋体" w:cs="宋体"/>
          <w:color w:val="auto"/>
          <w:szCs w:val="21"/>
        </w:rPr>
        <w:t>严格遵守国家制定的相关法律法规和技术规范要求，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承办过程</w:t>
      </w:r>
      <w:r>
        <w:rPr>
          <w:rFonts w:hint="eastAsia" w:ascii="宋体" w:hAnsi="宋体" w:eastAsia="宋体" w:cs="宋体"/>
          <w:color w:val="auto"/>
          <w:szCs w:val="21"/>
        </w:rPr>
        <w:t>中涉及的专业人员必须持证上岗并严格遵照规范的操作流程。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7、</w:t>
      </w:r>
      <w:r>
        <w:rPr>
          <w:rFonts w:hint="eastAsia" w:ascii="宋体" w:hAnsi="宋体" w:eastAsia="宋体" w:cs="宋体"/>
          <w:color w:val="auto"/>
          <w:szCs w:val="21"/>
        </w:rPr>
        <w:t>科学合理配置足够的人员和物资，制定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应急预案</w:t>
      </w:r>
      <w:r>
        <w:rPr>
          <w:rFonts w:hint="eastAsia" w:ascii="宋体" w:hAnsi="宋体" w:eastAsia="宋体" w:cs="宋体"/>
          <w:color w:val="auto"/>
          <w:szCs w:val="21"/>
        </w:rPr>
        <w:t>，随时做好应对突发事件的处置工作。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应急预案须及时报主办方备案。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Cs w:val="21"/>
        </w:rPr>
        <w:t>、对设施设备做好维护工作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，保证分赛区比赛过程中的设备设施安全。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Cs w:val="21"/>
        </w:rPr>
        <w:t>、端正服务态度，保持良好形象，做好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分赛区的承办</w:t>
      </w:r>
      <w:r>
        <w:rPr>
          <w:rFonts w:hint="eastAsia" w:ascii="宋体" w:hAnsi="宋体" w:eastAsia="宋体" w:cs="宋体"/>
          <w:color w:val="auto"/>
          <w:szCs w:val="21"/>
        </w:rPr>
        <w:t>工作，向观众提供优质的服务，维护好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eastAsia="zh-CN"/>
        </w:rPr>
        <w:t>“中国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val="en-US" w:eastAsia="zh-CN"/>
        </w:rPr>
        <w:t>COSPALY超级盛典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的品牌形象</w:t>
      </w:r>
      <w:r>
        <w:rPr>
          <w:rFonts w:hint="eastAsia" w:ascii="宋体" w:hAnsi="宋体" w:eastAsia="宋体" w:cs="宋体"/>
          <w:color w:val="auto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10、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承办</w:t>
      </w:r>
      <w:r>
        <w:rPr>
          <w:rFonts w:hint="eastAsia" w:ascii="宋体" w:hAnsi="宋体" w:eastAsia="宋体" w:cs="宋体"/>
          <w:color w:val="auto"/>
          <w:szCs w:val="21"/>
        </w:rPr>
        <w:t>期间，未经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主办方</w:t>
      </w:r>
      <w:r>
        <w:rPr>
          <w:rFonts w:hint="eastAsia" w:ascii="宋体" w:hAnsi="宋体" w:eastAsia="宋体" w:cs="宋体"/>
          <w:color w:val="auto"/>
          <w:szCs w:val="21"/>
        </w:rPr>
        <w:t>书面同意，不得组织、开展各类危险性活动，否则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承办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单位</w:t>
      </w:r>
      <w:r>
        <w:rPr>
          <w:rFonts w:hint="eastAsia" w:ascii="宋体" w:hAnsi="宋体" w:eastAsia="宋体" w:cs="宋体"/>
          <w:color w:val="auto"/>
          <w:szCs w:val="21"/>
        </w:rPr>
        <w:t>须承担全部法律后果及损失。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11、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承办期间，</w:t>
      </w:r>
      <w:r>
        <w:rPr>
          <w:rFonts w:hint="eastAsia" w:ascii="宋体" w:hAnsi="宋体" w:eastAsia="宋体" w:cs="宋体"/>
          <w:color w:val="auto"/>
          <w:szCs w:val="21"/>
        </w:rPr>
        <w:t>不得展示、销售、推介与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eastAsia="zh-CN"/>
        </w:rPr>
        <w:t>“中国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val="en-US" w:eastAsia="zh-CN"/>
        </w:rPr>
        <w:t>COSPALY超级盛典</w:t>
      </w:r>
      <w:r>
        <w:rPr>
          <w:rFonts w:hint="eastAsia" w:ascii="Songti SC" w:hAnsi="Songti SC" w:eastAsia="Songti SC"/>
          <w:b w:val="0"/>
          <w:bCs w:val="0"/>
          <w:color w:val="auto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Cs w:val="21"/>
        </w:rPr>
        <w:t>主题无关的产品或活动。一经发现，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主办方</w:t>
      </w:r>
      <w:r>
        <w:rPr>
          <w:rFonts w:hint="eastAsia" w:ascii="宋体" w:hAnsi="宋体" w:eastAsia="宋体" w:cs="宋体"/>
          <w:color w:val="auto"/>
          <w:szCs w:val="21"/>
        </w:rPr>
        <w:t>有权没收产品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并撤销承办单位承办方资格，由此产生的全部损失均由承办单位承担</w:t>
      </w:r>
      <w:r>
        <w:rPr>
          <w:rFonts w:hint="eastAsia" w:ascii="宋体" w:hAnsi="宋体" w:eastAsia="宋体" w:cs="宋体"/>
          <w:color w:val="auto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12、承诺并保证其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  <w:lang w:eastAsia="zh-CN"/>
        </w:rPr>
        <w:t>就分赛区的各项策划、执行、招商方案等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不存在侵犯任意第三方合法权益的情形，否则自行承担全部法律后果及损失。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</w:rPr>
        <w:t>13、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承办期间发生任何人身财产损害的，承办单位自行承担全部法律后果及损失，并应当及时书面告知主办方。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990" w:firstLineChars="19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lang w:eastAsia="zh-CN"/>
        </w:rPr>
        <w:t>承办单位（盖章）</w:t>
      </w:r>
      <w:r>
        <w:rPr>
          <w:rFonts w:hint="eastAsia" w:ascii="宋体" w:hAnsi="宋体" w:eastAsia="宋体" w:cs="宋体"/>
          <w:color w:val="auto"/>
          <w:szCs w:val="21"/>
        </w:rPr>
        <w:t>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990" w:firstLineChars="19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Cs w:val="21"/>
        </w:rPr>
        <w:t>负 责 人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（签字）</w:t>
      </w:r>
      <w:r>
        <w:rPr>
          <w:rFonts w:hint="eastAsia" w:ascii="宋体" w:hAnsi="宋体" w:eastAsia="宋体" w:cs="宋体"/>
          <w:color w:val="auto"/>
          <w:szCs w:val="21"/>
        </w:rPr>
        <w:t>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990" w:firstLineChars="19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 xml:space="preserve">日  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Cs w:val="21"/>
        </w:rPr>
        <w:t>期：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eastAsia" w:ascii="Songti SC" w:hAnsi="Songti SC" w:eastAsia="Songti SC"/>
          <w:color w:val="auto"/>
          <w:szCs w:val="21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b/>
          <w:bCs/>
          <w:color w:val="555555"/>
          <w:kern w:val="0"/>
          <w:sz w:val="32"/>
          <w:szCs w:val="32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ongti SC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050"/>
    <w:rsid w:val="00160690"/>
    <w:rsid w:val="002C2461"/>
    <w:rsid w:val="0049473D"/>
    <w:rsid w:val="005738A0"/>
    <w:rsid w:val="007A59FC"/>
    <w:rsid w:val="007E3A4F"/>
    <w:rsid w:val="00BD1050"/>
    <w:rsid w:val="00D01544"/>
    <w:rsid w:val="00DA6606"/>
    <w:rsid w:val="00FB60B8"/>
    <w:rsid w:val="00FE022A"/>
    <w:rsid w:val="03831DBA"/>
    <w:rsid w:val="048427DC"/>
    <w:rsid w:val="04843A51"/>
    <w:rsid w:val="04BC1887"/>
    <w:rsid w:val="05A3383E"/>
    <w:rsid w:val="08065BB9"/>
    <w:rsid w:val="0BF41B24"/>
    <w:rsid w:val="0E706C73"/>
    <w:rsid w:val="0E764F1C"/>
    <w:rsid w:val="11F71015"/>
    <w:rsid w:val="125866E9"/>
    <w:rsid w:val="12B46D2A"/>
    <w:rsid w:val="16D7635A"/>
    <w:rsid w:val="1B62452B"/>
    <w:rsid w:val="1C21667F"/>
    <w:rsid w:val="1C495FF6"/>
    <w:rsid w:val="1FE07D87"/>
    <w:rsid w:val="22822277"/>
    <w:rsid w:val="24716972"/>
    <w:rsid w:val="26254569"/>
    <w:rsid w:val="263B4D1F"/>
    <w:rsid w:val="2AC52DBF"/>
    <w:rsid w:val="2C02186A"/>
    <w:rsid w:val="2DB37E38"/>
    <w:rsid w:val="2F760C03"/>
    <w:rsid w:val="30D1172E"/>
    <w:rsid w:val="32FA1E8D"/>
    <w:rsid w:val="364D1421"/>
    <w:rsid w:val="3BBF338B"/>
    <w:rsid w:val="3C8142C2"/>
    <w:rsid w:val="42257B39"/>
    <w:rsid w:val="423A7E89"/>
    <w:rsid w:val="423D59C1"/>
    <w:rsid w:val="431F32F9"/>
    <w:rsid w:val="433911E1"/>
    <w:rsid w:val="44845D83"/>
    <w:rsid w:val="44CA0708"/>
    <w:rsid w:val="476B5E32"/>
    <w:rsid w:val="47E63C17"/>
    <w:rsid w:val="487B203C"/>
    <w:rsid w:val="4A2B6002"/>
    <w:rsid w:val="4B064633"/>
    <w:rsid w:val="4C516B36"/>
    <w:rsid w:val="4DFD412A"/>
    <w:rsid w:val="4E0849AF"/>
    <w:rsid w:val="4E663E57"/>
    <w:rsid w:val="4F641C61"/>
    <w:rsid w:val="51EB3D1C"/>
    <w:rsid w:val="53873ECB"/>
    <w:rsid w:val="552C2AD9"/>
    <w:rsid w:val="55EB1A00"/>
    <w:rsid w:val="565F550E"/>
    <w:rsid w:val="567047D6"/>
    <w:rsid w:val="57C06A99"/>
    <w:rsid w:val="58600888"/>
    <w:rsid w:val="58C2076C"/>
    <w:rsid w:val="5A635B8F"/>
    <w:rsid w:val="5B847787"/>
    <w:rsid w:val="5C025394"/>
    <w:rsid w:val="5CB806DF"/>
    <w:rsid w:val="5D3528C5"/>
    <w:rsid w:val="5EEB011A"/>
    <w:rsid w:val="602719F0"/>
    <w:rsid w:val="6208521B"/>
    <w:rsid w:val="6B1F43CA"/>
    <w:rsid w:val="6C146188"/>
    <w:rsid w:val="6C196649"/>
    <w:rsid w:val="6C8C0E2C"/>
    <w:rsid w:val="6E382D48"/>
    <w:rsid w:val="6F4C4839"/>
    <w:rsid w:val="72632FDA"/>
    <w:rsid w:val="74C276A3"/>
    <w:rsid w:val="76BF6619"/>
    <w:rsid w:val="7A961DE0"/>
    <w:rsid w:val="7B272191"/>
    <w:rsid w:val="7BAF785C"/>
    <w:rsid w:val="7CD42A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10">
    <w:name w:val="列出段落1"/>
    <w:basedOn w:val="1"/>
    <w:unhideWhenUsed/>
    <w:qFormat/>
    <w:uiPriority w:val="34"/>
    <w:pPr>
      <w:ind w:firstLine="420" w:firstLineChars="200"/>
    </w:pPr>
  </w:style>
  <w:style w:type="character" w:customStyle="1" w:styleId="11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241</Words>
  <Characters>1375</Characters>
  <Lines>11</Lines>
  <Paragraphs>3</Paragraphs>
  <TotalTime>177</TotalTime>
  <ScaleCrop>false</ScaleCrop>
  <LinksUpToDate>false</LinksUpToDate>
  <CharactersWithSpaces>1613</CharactersWithSpaces>
  <Application>WPS Office_11.1.0.7849_F1E327BC-269C-435d-A152-05C5408002CA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1383809286</cp:lastModifiedBy>
  <cp:lastPrinted>2018-10-12T07:37:00Z</cp:lastPrinted>
  <dcterms:modified xsi:type="dcterms:W3CDTF">2018-10-19T01:56:08Z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2052-11.1.0.7849</vt:lpwstr>
  </property>
</Properties>
</file>